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hAnsi="华文中宋" w:eastAsia="华文中宋"/>
          <w:b/>
          <w:sz w:val="52"/>
          <w:szCs w:val="52"/>
        </w:rPr>
      </w:pPr>
      <w:bookmarkStart w:id="0" w:name="_Toc490484529"/>
      <w:r>
        <w:rPr>
          <w:rFonts w:hint="eastAsia" w:hAnsi="华文中宋" w:eastAsia="华文中宋"/>
          <w:b/>
          <w:sz w:val="52"/>
          <w:szCs w:val="52"/>
        </w:rPr>
        <w:t>全国农业广播电视学校</w:t>
      </w:r>
    </w:p>
    <w:p>
      <w:pPr>
        <w:jc w:val="center"/>
        <w:rPr>
          <w:rFonts w:hAnsi="华文中宋" w:eastAsia="华文中宋"/>
          <w:b/>
          <w:sz w:val="52"/>
          <w:szCs w:val="52"/>
        </w:rPr>
      </w:pPr>
      <w:r>
        <w:rPr>
          <w:rFonts w:hint="eastAsia" w:hAnsi="华文中宋" w:eastAsia="华文中宋"/>
          <w:b/>
          <w:sz w:val="52"/>
          <w:szCs w:val="52"/>
        </w:rPr>
        <w:t>体系建设综合管理系统</w:t>
      </w:r>
    </w:p>
    <w:p>
      <w:pPr>
        <w:jc w:val="center"/>
        <w:rPr>
          <w:rFonts w:hAnsi="华文中宋" w:eastAsia="华文中宋"/>
          <w:b/>
          <w:sz w:val="52"/>
          <w:szCs w:val="52"/>
        </w:rPr>
      </w:pPr>
      <w:r>
        <w:rPr>
          <w:rFonts w:hint="eastAsia" w:hAnsi="华文中宋" w:eastAsia="华文中宋"/>
          <w:b/>
          <w:sz w:val="52"/>
          <w:szCs w:val="52"/>
        </w:rPr>
        <w:t>填报</w:t>
      </w:r>
      <w:r>
        <w:rPr>
          <w:rFonts w:hAnsi="华文中宋" w:eastAsia="华文中宋"/>
          <w:b/>
          <w:sz w:val="52"/>
          <w:szCs w:val="52"/>
        </w:rPr>
        <w:t>操作手册</w:t>
      </w:r>
    </w:p>
    <w:p>
      <w:pPr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rPr>
          <w:b/>
          <w:sz w:val="48"/>
          <w:szCs w:val="48"/>
        </w:rPr>
      </w:pPr>
    </w:p>
    <w:p>
      <w:pPr>
        <w:rPr>
          <w:b/>
          <w:sz w:val="48"/>
          <w:szCs w:val="48"/>
        </w:rPr>
      </w:pPr>
    </w:p>
    <w:p>
      <w:pPr>
        <w:rPr>
          <w:b/>
          <w:sz w:val="48"/>
          <w:szCs w:val="48"/>
        </w:rPr>
      </w:pPr>
    </w:p>
    <w:p>
      <w:pPr>
        <w:rPr>
          <w:b/>
          <w:sz w:val="48"/>
          <w:szCs w:val="48"/>
        </w:rPr>
      </w:pPr>
    </w:p>
    <w:p>
      <w:pPr>
        <w:jc w:val="center"/>
        <w:rPr>
          <w:b/>
          <w:sz w:val="32"/>
          <w:szCs w:val="32"/>
        </w:rPr>
      </w:pPr>
      <w:r>
        <w:rPr>
          <w:rFonts w:hAnsi="宋体"/>
          <w:b/>
          <w:sz w:val="32"/>
          <w:szCs w:val="32"/>
        </w:rPr>
        <w:t>农业部农民科技教育培训中心</w:t>
      </w:r>
    </w:p>
    <w:p>
      <w:pPr>
        <w:jc w:val="center"/>
        <w:rPr>
          <w:rFonts w:hAnsi="宋体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201</w:t>
      </w:r>
      <w:r>
        <w:rPr>
          <w:rFonts w:hint="eastAsia" w:ascii="Times New Roman" w:hAnsi="Times New Roman"/>
          <w:b/>
          <w:sz w:val="32"/>
          <w:szCs w:val="32"/>
        </w:rPr>
        <w:t>7</w:t>
      </w:r>
      <w:r>
        <w:rPr>
          <w:rFonts w:hAnsi="宋体"/>
          <w:b/>
          <w:sz w:val="32"/>
          <w:szCs w:val="32"/>
        </w:rPr>
        <w:t>年</w:t>
      </w:r>
      <w:r>
        <w:rPr>
          <w:rFonts w:ascii="Times New Roman" w:hAnsi="Times New Roman"/>
          <w:b/>
          <w:sz w:val="32"/>
          <w:szCs w:val="32"/>
        </w:rPr>
        <w:t>1</w:t>
      </w:r>
      <w:r>
        <w:rPr>
          <w:rFonts w:hint="eastAsia" w:ascii="Times New Roman" w:hAnsi="Times New Roman"/>
          <w:b/>
          <w:sz w:val="32"/>
          <w:szCs w:val="32"/>
        </w:rPr>
        <w:t>0</w:t>
      </w:r>
      <w:r>
        <w:rPr>
          <w:rFonts w:hAnsi="宋体"/>
          <w:b/>
          <w:sz w:val="32"/>
          <w:szCs w:val="32"/>
        </w:rPr>
        <w:t>月</w:t>
      </w:r>
    </w:p>
    <w:p>
      <w:pPr>
        <w:autoSpaceDE w:val="0"/>
        <w:spacing w:after="0" w:line="412" w:lineRule="auto"/>
        <w:rPr>
          <w:rFonts w:ascii="黑体" w:hAnsi="黑体" w:eastAsia="黑体"/>
          <w:b/>
          <w:bCs/>
        </w:rPr>
        <w:sectPr>
          <w:footerReference r:id="rId3" w:type="default"/>
          <w:pgSz w:w="11906" w:h="16838"/>
          <w:pgMar w:top="1440" w:right="1800" w:bottom="1440" w:left="1800" w:header="708" w:footer="708" w:gutter="0"/>
          <w:cols w:space="708" w:num="1"/>
          <w:docGrid w:linePitch="360" w:charSpace="0"/>
        </w:sectPr>
      </w:pPr>
    </w:p>
    <w:p>
      <w:pPr>
        <w:pStyle w:val="15"/>
        <w:tabs>
          <w:tab w:val="right" w:leader="dot" w:pos="8306"/>
        </w:tabs>
        <w:ind w:left="440"/>
      </w:pPr>
      <w:r>
        <w:rPr>
          <w:rFonts w:ascii="黑体" w:hAnsi="黑体" w:eastAsia="黑体"/>
          <w:b/>
          <w:bCs/>
        </w:rPr>
        <w:fldChar w:fldCharType="begin"/>
      </w:r>
      <w:r>
        <w:rPr>
          <w:rFonts w:ascii="黑体" w:hAnsi="黑体" w:eastAsia="黑体"/>
          <w:b/>
          <w:bCs/>
        </w:rPr>
        <w:instrText xml:space="preserve">TOC \o "1-3" \h \u </w:instrText>
      </w:r>
      <w:r>
        <w:rPr>
          <w:rFonts w:ascii="黑体" w:hAnsi="黑体" w:eastAsia="黑体"/>
          <w:b/>
          <w:bCs/>
        </w:rPr>
        <w:fldChar w:fldCharType="separate"/>
      </w:r>
      <w:r>
        <w:fldChar w:fldCharType="begin"/>
      </w:r>
      <w:r>
        <w:instrText xml:space="preserve"> HYPERLINK \l "_Toc1873" </w:instrText>
      </w:r>
      <w:r>
        <w:fldChar w:fldCharType="separate"/>
      </w:r>
      <w:r>
        <w:t>一</w:t>
      </w:r>
      <w:r>
        <w:rPr>
          <w:rFonts w:hint="eastAsia" w:ascii="黑体" w:hAnsi="黑体" w:eastAsia="黑体" w:cs="Times New Roman"/>
          <w:kern w:val="2"/>
          <w:szCs w:val="32"/>
        </w:rPr>
        <w:t xml:space="preserve">、 </w:t>
      </w:r>
      <w:r>
        <w:rPr>
          <w:rFonts w:hint="eastAsia" w:ascii="黑体" w:hAnsi="黑体" w:eastAsia="黑体"/>
        </w:rPr>
        <w:t>基本适配条件</w:t>
      </w:r>
      <w:r>
        <w:tab/>
      </w:r>
      <w:r>
        <w:fldChar w:fldCharType="end"/>
      </w:r>
    </w:p>
    <w:p>
      <w:pPr>
        <w:pStyle w:val="15"/>
        <w:tabs>
          <w:tab w:val="right" w:leader="dot" w:pos="8306"/>
        </w:tabs>
        <w:ind w:left="440"/>
      </w:pPr>
      <w:r>
        <w:fldChar w:fldCharType="begin"/>
      </w:r>
      <w:r>
        <w:instrText xml:space="preserve"> HYPERLINK \l "_Toc17730" </w:instrText>
      </w:r>
      <w:r>
        <w:fldChar w:fldCharType="separate"/>
      </w:r>
      <w:r>
        <w:t>二</w:t>
      </w:r>
      <w:r>
        <w:rPr>
          <w:rFonts w:hint="eastAsia" w:ascii="黑体" w:hAnsi="黑体" w:eastAsia="黑体" w:cs="Times New Roman"/>
          <w:kern w:val="2"/>
          <w:szCs w:val="32"/>
        </w:rPr>
        <w:t xml:space="preserve">、 </w:t>
      </w:r>
      <w:r>
        <w:rPr>
          <w:rFonts w:hint="eastAsia" w:ascii="黑体" w:hAnsi="黑体" w:eastAsia="黑体"/>
        </w:rPr>
        <w:t>农广校系统数据录入操作说明</w:t>
      </w:r>
      <w:r>
        <w:tab/>
      </w:r>
      <w:r>
        <w:fldChar w:fldCharType="end"/>
      </w:r>
    </w:p>
    <w:p>
      <w:pPr>
        <w:pStyle w:val="15"/>
        <w:tabs>
          <w:tab w:val="right" w:leader="dot" w:pos="8306"/>
        </w:tabs>
        <w:ind w:left="440"/>
      </w:pPr>
      <w:r>
        <w:fldChar w:fldCharType="begin"/>
      </w:r>
      <w:r>
        <w:instrText xml:space="preserve"> HYPERLINK \l "_Toc16799" </w:instrText>
      </w:r>
      <w:r>
        <w:fldChar w:fldCharType="separate"/>
      </w:r>
      <w:r>
        <w:t>(</w:t>
      </w:r>
      <w:r>
        <w:rPr>
          <w:rFonts w:hint="eastAsia" w:ascii="Times New Roman" w:hAnsi="Times New Roman" w:eastAsia="楷体_GB2312" w:cs="Times New Roman"/>
          <w:bCs/>
          <w:kern w:val="2"/>
          <w:szCs w:val="32"/>
        </w:rPr>
        <w:t xml:space="preserve">一) </w:t>
      </w:r>
      <w:r>
        <w:rPr>
          <w:rFonts w:hint="eastAsia" w:ascii="Times New Roman" w:hAnsi="Times New Roman" w:eastAsia="楷体_GB2312"/>
        </w:rPr>
        <w:t>基本情况数据录入</w:t>
      </w:r>
      <w:r>
        <w:tab/>
      </w:r>
      <w:r>
        <w:fldChar w:fldCharType="end"/>
      </w:r>
    </w:p>
    <w:p>
      <w:pPr>
        <w:pStyle w:val="15"/>
        <w:tabs>
          <w:tab w:val="right" w:leader="dot" w:pos="8306"/>
        </w:tabs>
        <w:ind w:left="440"/>
      </w:pPr>
      <w:r>
        <w:fldChar w:fldCharType="begin"/>
      </w:r>
      <w:r>
        <w:instrText xml:space="preserve"> HYPERLINK \l "_Toc1063" </w:instrText>
      </w:r>
      <w:r>
        <w:fldChar w:fldCharType="separate"/>
      </w:r>
      <w:r>
        <w:t>(</w:t>
      </w:r>
      <w:r>
        <w:rPr>
          <w:rFonts w:hint="eastAsia" w:ascii="Times New Roman" w:hAnsi="Times New Roman" w:eastAsia="楷体_GB2312" w:cs="Times New Roman"/>
          <w:bCs/>
          <w:kern w:val="2"/>
          <w:szCs w:val="32"/>
        </w:rPr>
        <w:t xml:space="preserve">二) </w:t>
      </w:r>
      <w:r>
        <w:rPr>
          <w:rFonts w:hint="eastAsia" w:ascii="Times New Roman" w:hAnsi="Times New Roman" w:eastAsia="楷体_GB2312"/>
        </w:rPr>
        <w:t>教育情况数据录入</w:t>
      </w:r>
      <w:r>
        <w:tab/>
      </w:r>
      <w:r>
        <w:fldChar w:fldCharType="end"/>
      </w:r>
    </w:p>
    <w:p>
      <w:pPr>
        <w:pStyle w:val="15"/>
        <w:tabs>
          <w:tab w:val="right" w:leader="dot" w:pos="8306"/>
        </w:tabs>
        <w:ind w:left="440"/>
      </w:pPr>
      <w:r>
        <w:fldChar w:fldCharType="begin"/>
      </w:r>
      <w:r>
        <w:instrText xml:space="preserve"> HYPERLINK \l "_Toc18215" </w:instrText>
      </w:r>
      <w:r>
        <w:fldChar w:fldCharType="separate"/>
      </w:r>
      <w:r>
        <w:t>(</w:t>
      </w:r>
      <w:r>
        <w:rPr>
          <w:rFonts w:hint="eastAsia" w:ascii="Times New Roman" w:hAnsi="Times New Roman" w:eastAsia="楷体_GB2312" w:cs="Times New Roman"/>
          <w:bCs/>
          <w:kern w:val="2"/>
          <w:szCs w:val="32"/>
        </w:rPr>
        <w:t xml:space="preserve">三) </w:t>
      </w:r>
      <w:r>
        <w:rPr>
          <w:rFonts w:hint="eastAsia" w:ascii="Times New Roman" w:hAnsi="Times New Roman" w:eastAsia="楷体_GB2312"/>
        </w:rPr>
        <w:t>分专业录取毕业人数录入</w:t>
      </w:r>
      <w:r>
        <w:tab/>
      </w:r>
      <w:r>
        <w:fldChar w:fldCharType="end"/>
      </w:r>
    </w:p>
    <w:p>
      <w:pPr>
        <w:pStyle w:val="15"/>
        <w:tabs>
          <w:tab w:val="right" w:leader="dot" w:pos="8306"/>
        </w:tabs>
        <w:ind w:left="440"/>
      </w:pPr>
      <w:r>
        <w:fldChar w:fldCharType="begin"/>
      </w:r>
      <w:r>
        <w:instrText xml:space="preserve"> HYPERLINK \l "_Toc2576" </w:instrText>
      </w:r>
      <w:r>
        <w:fldChar w:fldCharType="separate"/>
      </w:r>
      <w:r>
        <w:t>(</w:t>
      </w:r>
      <w:r>
        <w:rPr>
          <w:rFonts w:hint="eastAsia" w:ascii="Times New Roman" w:hAnsi="Times New Roman" w:eastAsia="楷体_GB2312" w:cs="Times New Roman"/>
          <w:bCs/>
          <w:kern w:val="2"/>
          <w:szCs w:val="32"/>
        </w:rPr>
        <w:t xml:space="preserve">四) </w:t>
      </w:r>
      <w:r>
        <w:rPr>
          <w:rFonts w:hint="eastAsia" w:ascii="Times New Roman" w:hAnsi="Times New Roman" w:eastAsia="楷体_GB2312"/>
        </w:rPr>
        <w:t>培训情况数据录入</w:t>
      </w:r>
      <w:r>
        <w:tab/>
      </w:r>
      <w:r>
        <w:fldChar w:fldCharType="end"/>
      </w:r>
    </w:p>
    <w:p>
      <w:pPr>
        <w:pStyle w:val="15"/>
        <w:tabs>
          <w:tab w:val="right" w:leader="dot" w:pos="8306"/>
        </w:tabs>
        <w:ind w:left="440"/>
      </w:pPr>
      <w:r>
        <w:fldChar w:fldCharType="begin"/>
      </w:r>
      <w:r>
        <w:instrText xml:space="preserve"> HYPERLINK \l "_Toc23175" </w:instrText>
      </w:r>
      <w:r>
        <w:fldChar w:fldCharType="separate"/>
      </w:r>
      <w:r>
        <w:t>(</w:t>
      </w:r>
      <w:r>
        <w:rPr>
          <w:rFonts w:hint="eastAsia" w:ascii="Times New Roman" w:hAnsi="Times New Roman" w:eastAsia="楷体_GB2312" w:cs="Times New Roman"/>
          <w:bCs/>
          <w:kern w:val="2"/>
          <w:szCs w:val="32"/>
        </w:rPr>
        <w:t xml:space="preserve">五) </w:t>
      </w:r>
      <w:r>
        <w:rPr>
          <w:rFonts w:hint="eastAsia" w:ascii="Times New Roman" w:hAnsi="Times New Roman" w:eastAsia="楷体_GB2312"/>
        </w:rPr>
        <w:t>资源情况数据录入</w:t>
      </w:r>
      <w:r>
        <w:tab/>
      </w:r>
      <w:r>
        <w:fldChar w:fldCharType="end"/>
      </w:r>
    </w:p>
    <w:p>
      <w:pPr>
        <w:pStyle w:val="15"/>
        <w:tabs>
          <w:tab w:val="right" w:leader="dot" w:pos="8306"/>
        </w:tabs>
        <w:ind w:left="440"/>
      </w:pPr>
      <w:r>
        <w:fldChar w:fldCharType="begin"/>
      </w:r>
      <w:r>
        <w:instrText xml:space="preserve"> HYPERLINK \l "_Toc9921" </w:instrText>
      </w:r>
      <w:r>
        <w:fldChar w:fldCharType="separate"/>
      </w:r>
      <w:r>
        <w:t>(</w:t>
      </w:r>
      <w:r>
        <w:rPr>
          <w:rFonts w:hint="eastAsia" w:ascii="Times New Roman" w:hAnsi="Times New Roman" w:eastAsia="楷体_GB2312" w:cs="Times New Roman"/>
          <w:bCs/>
          <w:kern w:val="2"/>
          <w:szCs w:val="32"/>
        </w:rPr>
        <w:t xml:space="preserve">六) </w:t>
      </w:r>
      <w:r>
        <w:rPr>
          <w:rFonts w:hint="eastAsia" w:ascii="Times New Roman" w:hAnsi="Times New Roman" w:eastAsia="楷体_GB2312"/>
        </w:rPr>
        <w:t>全部提交</w:t>
      </w:r>
      <w:r>
        <w:tab/>
      </w:r>
      <w:r>
        <w:fldChar w:fldCharType="end"/>
      </w:r>
    </w:p>
    <w:p>
      <w:pPr>
        <w:autoSpaceDE w:val="0"/>
        <w:spacing w:after="0" w:line="412" w:lineRule="auto"/>
        <w:rPr>
          <w:rFonts w:ascii="黑体" w:hAnsi="黑体" w:eastAsia="黑体"/>
          <w:b/>
          <w:bCs/>
        </w:rPr>
      </w:pPr>
      <w:r>
        <w:rPr>
          <w:rFonts w:ascii="黑体" w:hAnsi="黑体" w:eastAsia="黑体"/>
          <w:bCs/>
        </w:rPr>
        <w:fldChar w:fldCharType="end"/>
      </w:r>
    </w:p>
    <w:sdt>
      <w:sdtPr>
        <w:rPr>
          <w:lang w:val="zh-CN"/>
        </w:rPr>
        <w:id w:val="22545753"/>
      </w:sdtPr>
      <w:sdtEndPr>
        <w:rPr>
          <w:lang w:val="en-US"/>
        </w:rPr>
      </w:sdtEndPr>
      <w:sdtContent>
        <w:p>
          <w:pPr>
            <w:rPr>
              <w:lang w:val="zh-CN"/>
            </w:rPr>
          </w:pPr>
        </w:p>
        <w:p>
          <w:pPr/>
        </w:p>
      </w:sdtContent>
    </w:sdt>
    <w:p>
      <w:pPr>
        <w:autoSpaceDE w:val="0"/>
        <w:spacing w:after="0" w:line="412" w:lineRule="auto"/>
        <w:rPr>
          <w:rFonts w:ascii="黑体" w:hAnsi="黑体" w:eastAsia="黑体"/>
          <w:b/>
          <w:bCs/>
        </w:rPr>
        <w:sectPr>
          <w:pgSz w:w="11906" w:h="16838"/>
          <w:pgMar w:top="1440" w:right="1800" w:bottom="1440" w:left="1800" w:header="708" w:footer="708" w:gutter="0"/>
          <w:cols w:space="708" w:num="1"/>
          <w:docGrid w:linePitch="360" w:charSpace="0"/>
        </w:sectPr>
      </w:pPr>
    </w:p>
    <w:p>
      <w:pPr>
        <w:autoSpaceDE w:val="0"/>
        <w:spacing w:after="0" w:line="412" w:lineRule="auto"/>
        <w:rPr>
          <w:rFonts w:ascii="黑体" w:hAnsi="黑体" w:eastAsia="黑体"/>
          <w:b/>
          <w:bCs/>
        </w:rPr>
      </w:pPr>
    </w:p>
    <w:p>
      <w:pPr>
        <w:pStyle w:val="3"/>
        <w:keepLines w:val="0"/>
        <w:numPr>
          <w:ilvl w:val="0"/>
          <w:numId w:val="1"/>
        </w:numPr>
        <w:autoSpaceDE w:val="0"/>
        <w:spacing w:before="0" w:after="0" w:line="412" w:lineRule="auto"/>
        <w:rPr>
          <w:rFonts w:ascii="黑体" w:hAnsi="黑体" w:eastAsia="黑体"/>
          <w:b w:val="0"/>
          <w:bCs w:val="0"/>
        </w:rPr>
      </w:pPr>
      <w:bookmarkStart w:id="1" w:name="_Toc1873"/>
      <w:bookmarkStart w:id="2" w:name="_Toc490486282"/>
      <w:r>
        <w:rPr>
          <w:rFonts w:hint="eastAsia" w:ascii="黑体" w:hAnsi="黑体" w:eastAsia="黑体"/>
          <w:b w:val="0"/>
          <w:bCs w:val="0"/>
        </w:rPr>
        <w:t>基本适配条件</w:t>
      </w:r>
      <w:bookmarkEnd w:id="0"/>
      <w:bookmarkEnd w:id="1"/>
      <w:bookmarkEnd w:id="2"/>
    </w:p>
    <w:p>
      <w:pPr>
        <w:pStyle w:val="24"/>
        <w:numPr>
          <w:ilvl w:val="0"/>
          <w:numId w:val="2"/>
        </w:numPr>
        <w:ind w:firstLineChars="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操作系统：winxp/win7/win8/win10（为保证系统稳定，尽量保证win7/win8/win10）。</w:t>
      </w:r>
    </w:p>
    <w:p>
      <w:pPr>
        <w:pStyle w:val="24"/>
        <w:numPr>
          <w:ilvl w:val="0"/>
          <w:numId w:val="2"/>
        </w:numPr>
        <w:ind w:firstLineChars="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浏览器：IE10/搜狗/360/火狐/chrome</w:t>
      </w:r>
    </w:p>
    <w:p>
      <w:pPr>
        <w:pStyle w:val="24"/>
        <w:numPr>
          <w:ilvl w:val="0"/>
          <w:numId w:val="2"/>
        </w:numPr>
        <w:ind w:firstLineChars="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特别提示：</w:t>
      </w:r>
    </w:p>
    <w:p>
      <w:pPr>
        <w:pStyle w:val="24"/>
        <w:ind w:left="1060" w:firstLine="0" w:firstLineChars="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使用360 浏览器或者搜狗浏览器登录平台时，因其浏览器配置属性要求，请务必使用极速模式。</w:t>
      </w:r>
    </w:p>
    <w:p>
      <w:pPr>
        <w:pStyle w:val="24"/>
        <w:ind w:left="1060" w:firstLine="0" w:firstLineChars="0"/>
        <w:rPr>
          <w:rFonts w:hAnsi="宋体"/>
          <w:sz w:val="32"/>
          <w:szCs w:val="32"/>
        </w:rPr>
      </w:pPr>
      <w:r>
        <w:drawing>
          <wp:inline distT="0" distB="0" distL="0" distR="0">
            <wp:extent cx="3219450" cy="1285875"/>
            <wp:effectExtent l="19050" t="0" r="0" b="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>
        <w:pStyle w:val="3"/>
        <w:keepLines w:val="0"/>
        <w:numPr>
          <w:ilvl w:val="0"/>
          <w:numId w:val="1"/>
        </w:numPr>
        <w:autoSpaceDE w:val="0"/>
        <w:spacing w:before="0" w:after="0" w:line="412" w:lineRule="auto"/>
        <w:rPr>
          <w:rFonts w:ascii="黑体" w:hAnsi="黑体" w:eastAsia="黑体"/>
          <w:b w:val="0"/>
          <w:bCs w:val="0"/>
        </w:rPr>
      </w:pPr>
      <w:bookmarkStart w:id="3" w:name="_Toc490484530"/>
      <w:bookmarkStart w:id="4" w:name="_Toc490486283"/>
      <w:bookmarkStart w:id="5" w:name="_Toc17730"/>
      <w:r>
        <w:rPr>
          <w:rFonts w:hint="eastAsia" w:ascii="黑体" w:hAnsi="黑体" w:eastAsia="黑体"/>
          <w:b w:val="0"/>
          <w:bCs w:val="0"/>
        </w:rPr>
        <w:t>农广校系统数据录入操作说明</w:t>
      </w:r>
      <w:bookmarkEnd w:id="3"/>
      <w:bookmarkEnd w:id="4"/>
      <w:bookmarkEnd w:id="5"/>
    </w:p>
    <w:p>
      <w:pPr>
        <w:ind w:firstLine="709"/>
        <w:rPr>
          <w:rFonts w:hAnsi="仿宋_GB2312"/>
          <w:sz w:val="32"/>
          <w:szCs w:val="32"/>
        </w:rPr>
      </w:pPr>
      <w:r>
        <w:rPr>
          <w:rFonts w:hint="eastAsia" w:hAnsi="仿宋_GB2312"/>
          <w:sz w:val="32"/>
          <w:szCs w:val="32"/>
        </w:rPr>
        <w:t xml:space="preserve">在 </w:t>
      </w:r>
      <w:r>
        <w:fldChar w:fldCharType="begin"/>
      </w:r>
      <w:r>
        <w:instrText xml:space="preserve"> HYPERLINK "http://1.202.195.207:8080/dianshi" </w:instrText>
      </w:r>
      <w:r>
        <w:fldChar w:fldCharType="separate"/>
      </w:r>
      <w:r>
        <w:rPr>
          <w:rStyle w:val="18"/>
          <w:rFonts w:hint="eastAsia" w:hAnsi="仿宋_GB2312"/>
        </w:rPr>
        <w:t>链接</w:t>
      </w:r>
      <w:r>
        <w:rPr>
          <w:rStyle w:val="19"/>
          <w:rFonts w:hint="eastAsia" w:hAnsi="仿宋_GB2312"/>
        </w:rPr>
        <w:fldChar w:fldCharType="end"/>
      </w:r>
      <w:r>
        <w:rPr>
          <w:rFonts w:hint="eastAsia" w:hAnsi="仿宋_GB2312"/>
          <w:sz w:val="32"/>
          <w:szCs w:val="32"/>
        </w:rPr>
        <w:t xml:space="preserve"> 进行登录，然后可以看到主界面。</w:t>
      </w:r>
    </w:p>
    <w:p>
      <w:pPr/>
      <w:r>
        <w:drawing>
          <wp:inline distT="0" distB="0" distL="114300" distR="114300">
            <wp:extent cx="5269230" cy="2980055"/>
            <wp:effectExtent l="0" t="0" r="762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选择对应身份的账号和密码下载，找到自己省市县对应的账号和密码，点击</w:t>
      </w:r>
      <w:r>
        <w:rPr>
          <w:rFonts w:hint="eastAsia"/>
          <w:b/>
          <w:bCs/>
          <w:lang w:val="en-US" w:eastAsia="zh-CN"/>
        </w:rPr>
        <w:t>填报入口</w:t>
      </w:r>
      <w:r>
        <w:rPr>
          <w:rFonts w:hint="eastAsia"/>
          <w:lang w:val="en-US" w:eastAsia="zh-CN"/>
        </w:rPr>
        <w:t>进入填报端。</w:t>
      </w:r>
    </w:p>
    <w:p>
      <w:pPr>
        <w:ind w:left="420"/>
      </w:pPr>
      <w:r>
        <w:rPr>
          <w:rFonts w:hint="eastAsia" w:hAnsi="宋体"/>
          <w:sz w:val="32"/>
          <w:szCs w:val="32"/>
        </w:rPr>
        <w:t xml:space="preserve"> </w:t>
      </w:r>
    </w:p>
    <w:p>
      <w:pPr>
        <w:pStyle w:val="3"/>
        <w:keepLines w:val="0"/>
        <w:numPr>
          <w:ilvl w:val="0"/>
          <w:numId w:val="3"/>
        </w:numPr>
        <w:autoSpaceDE w:val="0"/>
        <w:spacing w:before="0" w:after="0" w:line="412" w:lineRule="auto"/>
        <w:rPr>
          <w:rFonts w:ascii="Times New Roman" w:hAnsi="Times New Roman" w:eastAsia="楷体_GB2312"/>
        </w:rPr>
      </w:pPr>
      <w:bookmarkStart w:id="6" w:name="_Toc490484531"/>
      <w:bookmarkStart w:id="7" w:name="_Toc16799"/>
      <w:bookmarkStart w:id="8" w:name="_Toc490486284"/>
      <w:r>
        <w:rPr>
          <w:rFonts w:hint="eastAsia" w:ascii="Times New Roman" w:hAnsi="Times New Roman" w:eastAsia="楷体_GB2312"/>
        </w:rPr>
        <w:t>基本情况数据录入</w:t>
      </w:r>
      <w:bookmarkEnd w:id="6"/>
      <w:bookmarkEnd w:id="7"/>
      <w:bookmarkEnd w:id="8"/>
    </w:p>
    <w:p>
      <w:pPr>
        <w:rPr>
          <w:rFonts w:hint="eastAsia" w:eastAsia="楷体_GB2312"/>
          <w:lang w:val="en-US" w:eastAsia="zh-CN"/>
        </w:rPr>
      </w:pPr>
      <w:r>
        <w:rPr>
          <w:rFonts w:hint="eastAsia" w:ascii="Times New Roman" w:hAnsi="Times New Roman" w:eastAsia="楷体_GB2312"/>
          <w:lang w:val="en-US" w:eastAsia="zh-CN"/>
        </w:rPr>
        <w:t>输入用户名，密码以及验证码进行登录，</w:t>
      </w:r>
    </w:p>
    <w:p>
      <w:pPr/>
    </w:p>
    <w:p>
      <w:pPr>
        <w:keepNext/>
        <w:ind w:firstLine="709"/>
      </w:pPr>
      <w:r>
        <w:drawing>
          <wp:inline distT="0" distB="0" distL="114300" distR="114300">
            <wp:extent cx="5268595" cy="4050030"/>
            <wp:effectExtent l="0" t="0" r="825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/>
        <w:ind w:firstLine="70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登录成功后为保证安全请进行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密码修改</w:t>
      </w:r>
      <w:r>
        <w:rPr>
          <w:rFonts w:hint="eastAsia"/>
          <w:lang w:val="en-US" w:eastAsia="zh-CN"/>
        </w:rPr>
        <w:t>，点击下图的修改密码进行密码修改页后</w:t>
      </w:r>
    </w:p>
    <w:p>
      <w:pPr>
        <w:keepNext/>
        <w:ind w:firstLine="70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574290"/>
            <wp:effectExtent l="0" t="0" r="317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/>
          <w:lang w:val="en-US" w:eastAsia="zh-CN"/>
        </w:rPr>
      </w:pPr>
      <w:r>
        <w:rPr>
          <w:rFonts w:hint="eastAsia"/>
        </w:rPr>
        <w:t xml:space="preserve">图2-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图表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修改密码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输入当密码，新密码，确认新密码后，点击修改密码即可成功修改密码。</w:t>
      </w:r>
    </w:p>
    <w:p>
      <w:r>
        <w:drawing>
          <wp:inline distT="0" distB="0" distL="114300" distR="114300">
            <wp:extent cx="5270500" cy="3383280"/>
            <wp:effectExtent l="0" t="0" r="635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709"/>
        <w:rPr>
          <w:rFonts w:hAnsi="仿宋_GB2312"/>
          <w:sz w:val="32"/>
          <w:szCs w:val="32"/>
        </w:rPr>
      </w:pPr>
    </w:p>
    <w:p>
      <w:pPr>
        <w:keepNext/>
        <w:ind w:firstLine="709"/>
        <w:jc w:val="center"/>
      </w:pPr>
    </w:p>
    <w:p>
      <w:pPr>
        <w:ind w:firstLine="709"/>
        <w:rPr>
          <w:rFonts w:hAnsi="仿宋_GB2312"/>
          <w:sz w:val="32"/>
          <w:szCs w:val="32"/>
        </w:rPr>
      </w:pPr>
      <w:r>
        <w:rPr>
          <w:rFonts w:hint="eastAsia" w:hAnsi="仿宋_GB2312"/>
          <w:sz w:val="32"/>
          <w:szCs w:val="32"/>
          <w:lang w:val="en-US" w:eastAsia="zh-CN"/>
        </w:rPr>
        <w:t>点击基本情况统计表</w:t>
      </w:r>
      <w:r>
        <w:rPr>
          <w:rFonts w:hint="eastAsia" w:hAnsi="仿宋_GB2312"/>
          <w:sz w:val="32"/>
          <w:szCs w:val="32"/>
        </w:rPr>
        <w:t>左侧为不同的统计表，右侧是该类统计表的数据。</w:t>
      </w:r>
    </w:p>
    <w:p>
      <w:pPr>
        <w:ind w:firstLine="709"/>
        <w:rPr>
          <w:rFonts w:hAnsi="仿宋_GB2312"/>
          <w:sz w:val="32"/>
          <w:szCs w:val="32"/>
        </w:rPr>
      </w:pPr>
    </w:p>
    <w:p>
      <w:pPr>
        <w:ind w:firstLine="709"/>
        <w:rPr>
          <w:rFonts w:hAnsi="仿宋_GB2312"/>
          <w:sz w:val="32"/>
          <w:szCs w:val="32"/>
        </w:rPr>
      </w:pPr>
      <w:r>
        <w:rPr>
          <w:rFonts w:hint="eastAsia" w:hAnsi="仿宋_GB2312"/>
          <w:sz w:val="32"/>
          <w:szCs w:val="32"/>
        </w:rPr>
        <w:t>以基本信息统计为例，选择年份</w:t>
      </w:r>
    </w:p>
    <w:p>
      <w:pPr>
        <w:keepNext/>
        <w:ind w:firstLine="709"/>
        <w:jc w:val="center"/>
      </w:pPr>
      <w:r>
        <w:drawing>
          <wp:inline distT="0" distB="0" distL="114300" distR="114300">
            <wp:extent cx="5268595" cy="3228340"/>
            <wp:effectExtent l="0" t="0" r="8255" b="1016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Ansi="仿宋_GB2312"/>
          <w:sz w:val="32"/>
          <w:szCs w:val="32"/>
        </w:rPr>
      </w:pPr>
      <w:r>
        <w:rPr>
          <w:rFonts w:hint="eastAsia"/>
        </w:rPr>
        <w:t xml:space="preserve">图2-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图表 \* ARABIC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 xml:space="preserve"> 选择年份来添加数据</w:t>
      </w:r>
    </w:p>
    <w:p>
      <w:pPr>
        <w:ind w:firstLine="709"/>
        <w:rPr>
          <w:rFonts w:hAnsi="仿宋_GB2312"/>
          <w:sz w:val="32"/>
          <w:szCs w:val="32"/>
        </w:rPr>
      </w:pPr>
      <w:r>
        <w:rPr>
          <w:rFonts w:hint="eastAsia" w:hAnsi="仿宋_GB2312"/>
          <w:sz w:val="32"/>
          <w:szCs w:val="32"/>
        </w:rPr>
        <w:t>点击添加，如果选定的年份内已经有数据，那么将会跳转到该年份数据的修改页面</w:t>
      </w:r>
      <w:r>
        <w:rPr>
          <w:rFonts w:hint="eastAsia" w:hAnsi="仿宋_GB2312"/>
          <w:sz w:val="32"/>
          <w:szCs w:val="32"/>
          <w:lang w:eastAsia="zh-CN"/>
        </w:rPr>
        <w:t>，</w:t>
      </w:r>
      <w:r>
        <w:rPr>
          <w:rFonts w:hint="eastAsia" w:hAnsi="仿宋_GB2312"/>
          <w:sz w:val="32"/>
          <w:szCs w:val="32"/>
          <w:lang w:val="en-US" w:eastAsia="zh-CN"/>
        </w:rPr>
        <w:t>文本框为</w:t>
      </w:r>
      <w:r>
        <w:rPr>
          <w:rFonts w:hint="eastAsia" w:hAnsi="仿宋_GB2312"/>
          <w:b/>
          <w:bCs/>
          <w:sz w:val="32"/>
          <w:szCs w:val="32"/>
          <w:lang w:val="en-US" w:eastAsia="zh-CN"/>
        </w:rPr>
        <w:t>灰色</w:t>
      </w:r>
      <w:r>
        <w:rPr>
          <w:rFonts w:hint="eastAsia" w:hAnsi="仿宋_GB2312"/>
          <w:sz w:val="32"/>
          <w:szCs w:val="32"/>
          <w:lang w:val="en-US" w:eastAsia="zh-CN"/>
        </w:rPr>
        <w:t>的是求和项，不需要填写，程序会自动求和，在详情页可以看到具体的值</w:t>
      </w:r>
      <w:r>
        <w:rPr>
          <w:rFonts w:hint="eastAsia" w:hAnsi="仿宋_GB2312"/>
          <w:sz w:val="32"/>
          <w:szCs w:val="32"/>
        </w:rPr>
        <w:t>；</w:t>
      </w:r>
    </w:p>
    <w:p>
      <w:pPr>
        <w:keepNext/>
        <w:ind w:firstLine="709"/>
        <w:jc w:val="center"/>
      </w:pPr>
      <w:r>
        <w:drawing>
          <wp:inline distT="0" distB="0" distL="114300" distR="114300">
            <wp:extent cx="5263515" cy="3140710"/>
            <wp:effectExtent l="0" t="0" r="1333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rPr>
          <w:rFonts w:hint="eastAsia"/>
        </w:rPr>
        <w:t>图2-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图表 \* ARABIC</w:instrText>
      </w:r>
      <w:r>
        <w:instrText xml:space="preserve">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 xml:space="preserve"> 2017年基本情况修改页面</w:t>
      </w:r>
    </w:p>
    <w:p>
      <w:pPr>
        <w:ind w:firstLine="709"/>
        <w:rPr>
          <w:rFonts w:hAnsi="仿宋_GB2312"/>
          <w:sz w:val="32"/>
          <w:szCs w:val="32"/>
        </w:rPr>
      </w:pPr>
      <w:r>
        <w:rPr>
          <w:rFonts w:hint="eastAsia" w:hAnsi="仿宋_GB2312"/>
          <w:sz w:val="32"/>
          <w:szCs w:val="32"/>
        </w:rPr>
        <w:t>如果选定的年份内没有数据，那么将会跳转到该年份数据的新增页面</w:t>
      </w:r>
    </w:p>
    <w:p>
      <w:pPr>
        <w:keepNext/>
        <w:ind w:firstLine="709"/>
        <w:jc w:val="center"/>
      </w:pPr>
      <w:r>
        <w:drawing>
          <wp:inline distT="0" distB="0" distL="114300" distR="114300">
            <wp:extent cx="5264150" cy="3001010"/>
            <wp:effectExtent l="0" t="0" r="1270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22" w:name="_GoBack"/>
      <w:bookmarkEnd w:id="22"/>
    </w:p>
    <w:p>
      <w:pPr>
        <w:pStyle w:val="5"/>
        <w:jc w:val="center"/>
      </w:pPr>
      <w:r>
        <w:rPr>
          <w:rFonts w:hint="eastAsia"/>
        </w:rPr>
        <w:t>图2-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图表 \* ARABIC</w:instrText>
      </w:r>
      <w:r>
        <w:instrText xml:space="preserve">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 xml:space="preserve">  2017年数据新增页面</w:t>
      </w:r>
    </w:p>
    <w:p>
      <w:pPr/>
    </w:p>
    <w:p>
      <w:pPr>
        <w:ind w:firstLine="709"/>
        <w:rPr>
          <w:rFonts w:hAnsi="仿宋_GB2312"/>
          <w:sz w:val="32"/>
          <w:szCs w:val="32"/>
        </w:rPr>
      </w:pPr>
      <w:r>
        <w:rPr>
          <w:rFonts w:hint="eastAsia" w:hAnsi="仿宋_GB2312"/>
          <w:sz w:val="32"/>
          <w:szCs w:val="32"/>
        </w:rPr>
        <w:t>在修改或者新增完毕之后，可以通过点击保存来保存数据</w:t>
      </w:r>
    </w:p>
    <w:p>
      <w:pPr>
        <w:keepNext/>
        <w:jc w:val="center"/>
      </w:pPr>
      <w:r>
        <w:rPr>
          <w:rFonts w:hint="eastAsia"/>
        </w:rPr>
        <w:drawing>
          <wp:inline distT="0" distB="0" distL="0" distR="0">
            <wp:extent cx="5267325" cy="29241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rPr>
          <w:rFonts w:hint="eastAsia"/>
        </w:rPr>
        <w:t>图2-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图表 \* ARABIC</w:instrText>
      </w:r>
      <w:r>
        <w:instrText xml:space="preserve">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 xml:space="preserve"> 保存与返回</w:t>
      </w:r>
    </w:p>
    <w:p>
      <w:pPr>
        <w:ind w:firstLine="709"/>
        <w:rPr>
          <w:rFonts w:hAnsi="仿宋_GB2312"/>
          <w:sz w:val="32"/>
          <w:szCs w:val="32"/>
        </w:rPr>
      </w:pPr>
      <w:r>
        <w:rPr>
          <w:rFonts w:hint="eastAsia" w:hAnsi="仿宋_GB2312"/>
          <w:sz w:val="32"/>
          <w:szCs w:val="32"/>
        </w:rPr>
        <w:t>点击返回则会返回到主页面。</w:t>
      </w:r>
    </w:p>
    <w:p>
      <w:pPr>
        <w:ind w:firstLine="709"/>
        <w:rPr>
          <w:rFonts w:hAnsi="仿宋_GB2312"/>
          <w:sz w:val="32"/>
          <w:szCs w:val="32"/>
        </w:rPr>
      </w:pPr>
    </w:p>
    <w:p>
      <w:pPr>
        <w:keepNext/>
      </w:pPr>
      <w:r>
        <w:drawing>
          <wp:inline distT="0" distB="0" distL="114300" distR="114300">
            <wp:extent cx="5273675" cy="1329690"/>
            <wp:effectExtent l="0" t="0" r="3175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rPr>
          <w:rFonts w:hint="eastAsia"/>
        </w:rPr>
        <w:t xml:space="preserve">图2-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图表 \* ARABIC</w:instrText>
      </w:r>
      <w:r>
        <w:instrText xml:space="preserve">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 xml:space="preserve"> 查看详情和修改</w:t>
      </w:r>
    </w:p>
    <w:p>
      <w:pPr>
        <w:ind w:firstLine="420"/>
        <w:rPr>
          <w:rFonts w:hAnsi="仿宋_GB2312"/>
          <w:sz w:val="32"/>
          <w:szCs w:val="32"/>
        </w:rPr>
      </w:pPr>
      <w:r>
        <w:rPr>
          <w:rFonts w:hint="eastAsia" w:hAnsi="仿宋_GB2312"/>
          <w:sz w:val="32"/>
          <w:szCs w:val="32"/>
        </w:rPr>
        <w:t>在主页面，可以通过点击表名称来进入详情页面，在详情页面可以确认数据。</w:t>
      </w:r>
    </w:p>
    <w:p>
      <w:pPr>
        <w:keepNext/>
      </w:pPr>
      <w:r>
        <w:drawing>
          <wp:inline distT="0" distB="0" distL="114300" distR="114300">
            <wp:extent cx="5266055" cy="3291205"/>
            <wp:effectExtent l="0" t="0" r="1079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rPr>
          <w:rFonts w:hint="eastAsia"/>
        </w:rPr>
        <w:t xml:space="preserve">图2-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图表 \* ARABIC</w:instrText>
      </w:r>
      <w:r>
        <w:instrText xml:space="preserve">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 xml:space="preserve"> 详情页面</w:t>
      </w:r>
    </w:p>
    <w:p>
      <w:pPr>
        <w:ind w:firstLine="420"/>
        <w:rPr>
          <w:rFonts w:hAnsi="仿宋_GB2312"/>
          <w:sz w:val="32"/>
          <w:szCs w:val="32"/>
        </w:rPr>
      </w:pPr>
      <w:r>
        <w:rPr>
          <w:rFonts w:hint="eastAsia" w:hAnsi="仿宋_GB2312"/>
          <w:sz w:val="32"/>
          <w:szCs w:val="32"/>
        </w:rPr>
        <w:t>在主页面，可以通过点击表名后面的校正进入对应表单的校正页面。</w:t>
      </w:r>
    </w:p>
    <w:p>
      <w:pPr>
        <w:pStyle w:val="3"/>
        <w:keepLines w:val="0"/>
        <w:numPr>
          <w:ilvl w:val="0"/>
          <w:numId w:val="3"/>
        </w:numPr>
        <w:autoSpaceDE w:val="0"/>
        <w:spacing w:before="0" w:after="0" w:line="412" w:lineRule="auto"/>
        <w:rPr>
          <w:rFonts w:ascii="Times New Roman" w:hAnsi="Times New Roman" w:eastAsia="楷体_GB2312"/>
        </w:rPr>
      </w:pPr>
      <w:bookmarkStart w:id="9" w:name="_Toc490484532"/>
      <w:bookmarkStart w:id="10" w:name="_Toc1063"/>
      <w:bookmarkStart w:id="11" w:name="_Toc490486285"/>
      <w:r>
        <w:rPr>
          <w:rFonts w:hint="eastAsia" w:ascii="Times New Roman" w:hAnsi="Times New Roman" w:eastAsia="楷体_GB2312"/>
        </w:rPr>
        <w:t>教育情况数据录入</w:t>
      </w:r>
      <w:bookmarkEnd w:id="9"/>
      <w:bookmarkEnd w:id="10"/>
      <w:bookmarkEnd w:id="11"/>
    </w:p>
    <w:p>
      <w:pPr>
        <w:ind w:firstLine="420"/>
        <w:rPr>
          <w:rFonts w:hAnsi="仿宋_GB2312"/>
          <w:sz w:val="32"/>
          <w:szCs w:val="32"/>
        </w:rPr>
      </w:pPr>
      <w:r>
        <w:rPr>
          <w:rFonts w:hint="eastAsia" w:hAnsi="仿宋_GB2312"/>
          <w:sz w:val="32"/>
          <w:szCs w:val="32"/>
        </w:rPr>
        <w:t>点击教育情况统计表，进入教育情况主页面</w:t>
      </w:r>
    </w:p>
    <w:p>
      <w:pPr>
        <w:keepNext/>
      </w:pPr>
      <w:r>
        <w:drawing>
          <wp:inline distT="0" distB="0" distL="114300" distR="114300">
            <wp:extent cx="5270500" cy="1664335"/>
            <wp:effectExtent l="0" t="0" r="6350" b="1206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rPr>
          <w:rFonts w:hint="eastAsia"/>
        </w:rPr>
        <w:t>图2-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图表 \* ARABIC</w:instrText>
      </w:r>
      <w:r>
        <w:instrText xml:space="preserve">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t xml:space="preserve"> 教育情况主页面</w:t>
      </w:r>
    </w:p>
    <w:p>
      <w:pPr>
        <w:ind w:firstLine="420"/>
      </w:pPr>
      <w:r>
        <w:rPr>
          <w:rFonts w:hint="eastAsia"/>
        </w:rPr>
        <w:t>首先选择年份，然后点击添加即可添加对应年份的数据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76850" cy="337185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在数据尚未填写完的情况下点击保存会提示先完成表单再提交。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67325" cy="3095625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填写完成之后点击保存即可保存数据</w:t>
      </w:r>
      <w:r>
        <w:rPr>
          <w:rFonts w:hint="eastAsia"/>
        </w:rPr>
        <w:t>。</w:t>
      </w:r>
    </w:p>
    <w:p>
      <w:pPr>
        <w:ind w:firstLine="420"/>
      </w:pPr>
      <w:r>
        <w:drawing>
          <wp:inline distT="0" distB="0" distL="114300" distR="114300">
            <wp:extent cx="5266690" cy="2643505"/>
            <wp:effectExtent l="0" t="0" r="1016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在主界面，点击校正可以进入数据的修改页面。</w:t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点击表名称可以进入数据的展示页面进行核对。</w:t>
      </w:r>
    </w:p>
    <w:p>
      <w:pPr>
        <w:ind w:left="420"/>
        <w:rPr>
          <w:rFonts w:hAnsi="Calibri"/>
          <w:sz w:val="21"/>
        </w:rPr>
      </w:pPr>
    </w:p>
    <w:p>
      <w:pPr>
        <w:ind w:left="420"/>
        <w:rPr>
          <w:rFonts w:hAnsi="宋体"/>
          <w:sz w:val="32"/>
          <w:szCs w:val="32"/>
        </w:rPr>
      </w:pPr>
      <w:r>
        <w:rPr>
          <w:rFonts w:hint="eastAsia" w:hAnsi="Calibri"/>
          <w:sz w:val="21"/>
        </w:rPr>
        <w:t>勾选数据，点击删除会弹出确认对话框，如果确定删除，数据将会被删除。</w:t>
      </w:r>
    </w:p>
    <w:p>
      <w:pPr>
        <w:ind w:firstLine="420"/>
      </w:pPr>
      <w:r>
        <w:drawing>
          <wp:inline distT="0" distB="0" distL="114300" distR="114300">
            <wp:extent cx="5268595" cy="3138170"/>
            <wp:effectExtent l="0" t="0" r="8255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也可以点击最上面一排的空格进行全选，再进行删除。</w:t>
      </w:r>
    </w:p>
    <w:p>
      <w:pPr/>
      <w:r>
        <w:drawing>
          <wp:inline distT="0" distB="0" distL="114300" distR="114300">
            <wp:extent cx="5273675" cy="3182620"/>
            <wp:effectExtent l="0" t="0" r="3175" b="1778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>
        <w:pStyle w:val="3"/>
        <w:keepLines w:val="0"/>
        <w:numPr>
          <w:ilvl w:val="0"/>
          <w:numId w:val="3"/>
        </w:numPr>
        <w:autoSpaceDE w:val="0"/>
        <w:spacing w:before="0" w:after="0" w:line="412" w:lineRule="auto"/>
        <w:rPr>
          <w:rFonts w:ascii="Times New Roman" w:hAnsi="Times New Roman" w:eastAsia="楷体_GB2312"/>
        </w:rPr>
      </w:pPr>
      <w:bookmarkStart w:id="12" w:name="_Toc490486286"/>
      <w:bookmarkStart w:id="13" w:name="_Toc490484533"/>
      <w:bookmarkStart w:id="14" w:name="_Toc18215"/>
      <w:r>
        <w:rPr>
          <w:rFonts w:hint="eastAsia" w:ascii="Times New Roman" w:hAnsi="Times New Roman" w:eastAsia="楷体_GB2312"/>
        </w:rPr>
        <w:t>分专业录取毕业人数录入</w:t>
      </w:r>
      <w:bookmarkEnd w:id="12"/>
      <w:bookmarkEnd w:id="13"/>
      <w:bookmarkEnd w:id="14"/>
    </w:p>
    <w:p>
      <w:pPr/>
    </w:p>
    <w:p>
      <w:pPr/>
      <w:r>
        <w:drawing>
          <wp:inline distT="0" distB="0" distL="114300" distR="114300">
            <wp:extent cx="5269865" cy="3259455"/>
            <wp:effectExtent l="0" t="0" r="6985" b="171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点击左侧的分专业统计表，即可跳转到分专业统计主页面。</w:t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选择年份后，点击添加即可跳转到对应年份的数据新增页面，或者数据修改页面。</w:t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此处以2017年数据为例，因为2017年如果已经有数据，点击添加则会跳转到修改页面，省市县用户可以新增省校自开专业和毕业专业，点击新增专业输入专业名称，带点击添加即可完成添加。</w:t>
      </w:r>
    </w:p>
    <w:p>
      <w:pPr/>
      <w:r>
        <w:drawing>
          <wp:inline distT="0" distB="0" distL="114300" distR="114300">
            <wp:extent cx="5273040" cy="2893060"/>
            <wp:effectExtent l="0" t="0" r="3810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5260340" cy="2251075"/>
            <wp:effectExtent l="0" t="0" r="16510" b="158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修改（填写）完毕后点击保存即可保存数据</w:t>
      </w:r>
      <w:r>
        <w:rPr>
          <w:rFonts w:hint="eastAsia"/>
        </w:rPr>
        <w:t>。</w:t>
      </w:r>
    </w:p>
    <w:p>
      <w:pPr/>
      <w:r>
        <w:drawing>
          <wp:inline distT="0" distB="0" distL="114300" distR="114300">
            <wp:extent cx="5269865" cy="3027680"/>
            <wp:effectExtent l="0" t="0" r="6985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勾选统计表并点击删除，会弹出确认对话框，如果确定则数据会被删除。注意：该过程不可逆，删除数据需谨慎对待，已提交过的数据不可删除。</w:t>
      </w:r>
    </w:p>
    <w:p>
      <w:pPr>
        <w:pStyle w:val="3"/>
        <w:keepLines w:val="0"/>
        <w:numPr>
          <w:ilvl w:val="0"/>
          <w:numId w:val="3"/>
        </w:numPr>
        <w:autoSpaceDE w:val="0"/>
        <w:spacing w:before="0" w:after="0" w:line="412" w:lineRule="auto"/>
        <w:rPr>
          <w:rFonts w:ascii="Times New Roman" w:hAnsi="Times New Roman" w:eastAsia="楷体_GB2312"/>
        </w:rPr>
      </w:pPr>
      <w:bookmarkStart w:id="15" w:name="_Toc490484534"/>
      <w:bookmarkStart w:id="16" w:name="_Toc490486287"/>
      <w:bookmarkStart w:id="17" w:name="_Toc2576"/>
      <w:r>
        <w:rPr>
          <w:rFonts w:hint="eastAsia" w:ascii="Times New Roman" w:hAnsi="Times New Roman" w:eastAsia="楷体_GB2312"/>
        </w:rPr>
        <w:t>培训情况数据录入</w:t>
      </w:r>
      <w:bookmarkEnd w:id="15"/>
      <w:bookmarkEnd w:id="16"/>
      <w:bookmarkEnd w:id="17"/>
    </w:p>
    <w:p>
      <w:pPr/>
      <w:r>
        <w:drawing>
          <wp:inline distT="0" distB="0" distL="114300" distR="114300">
            <wp:extent cx="5264150" cy="2590165"/>
            <wp:effectExtent l="0" t="0" r="12700" b="6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点击左侧培训情况统计表，即可打开各层次培训信息统计界面。</w:t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选择年份之后，点击添加即可进入添加或者修改页面。</w:t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此处以添加2018年数据为例</w:t>
      </w:r>
    </w:p>
    <w:p>
      <w:pPr/>
      <w:r>
        <w:drawing>
          <wp:inline distT="0" distB="0" distL="114300" distR="114300">
            <wp:extent cx="5259705" cy="2716530"/>
            <wp:effectExtent l="0" t="0" r="17145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填写完毕之后点击保存，即可保存数据</w:t>
      </w:r>
      <w:r>
        <w:rPr>
          <w:rFonts w:hint="eastAsia"/>
        </w:rPr>
        <w:t>。</w:t>
      </w:r>
    </w:p>
    <w:p>
      <w:pPr/>
      <w:r>
        <w:rPr>
          <w:rFonts w:hint="eastAsia"/>
        </w:rPr>
        <w:drawing>
          <wp:inline distT="0" distB="0" distL="0" distR="0">
            <wp:extent cx="5267325" cy="1257300"/>
            <wp:effectExtent l="1905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通过勾选该统计表然后点击删除，可以删除该条数据</w:t>
      </w:r>
      <w:r>
        <w:rPr>
          <w:rFonts w:hint="eastAsia"/>
        </w:rPr>
        <w:t>。</w:t>
      </w:r>
    </w:p>
    <w:p>
      <w:pPr/>
      <w:r>
        <w:drawing>
          <wp:inline distT="0" distB="0" distL="114300" distR="114300">
            <wp:extent cx="5263515" cy="1647190"/>
            <wp:effectExtent l="0" t="0" r="13335" b="1016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drawing>
          <wp:inline distT="0" distB="0" distL="0" distR="0">
            <wp:extent cx="5267325" cy="1371600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数据已被删除。</w:t>
      </w:r>
    </w:p>
    <w:p>
      <w:pPr/>
    </w:p>
    <w:p>
      <w:pPr/>
    </w:p>
    <w:p>
      <w:pPr>
        <w:pStyle w:val="3"/>
        <w:keepLines w:val="0"/>
        <w:numPr>
          <w:ilvl w:val="0"/>
          <w:numId w:val="3"/>
        </w:numPr>
        <w:autoSpaceDE w:val="0"/>
        <w:spacing w:before="0" w:after="0" w:line="412" w:lineRule="auto"/>
        <w:rPr>
          <w:rFonts w:ascii="Times New Roman" w:hAnsi="Times New Roman" w:eastAsia="楷体_GB2312"/>
        </w:rPr>
      </w:pPr>
      <w:bookmarkStart w:id="18" w:name="_Toc490484535"/>
      <w:bookmarkStart w:id="19" w:name="_Toc490486288"/>
      <w:bookmarkStart w:id="20" w:name="_Toc23175"/>
      <w:r>
        <w:rPr>
          <w:rFonts w:hint="eastAsia" w:ascii="Times New Roman" w:hAnsi="Times New Roman" w:eastAsia="楷体_GB2312"/>
        </w:rPr>
        <w:t>资源情况数据录入</w:t>
      </w:r>
      <w:bookmarkEnd w:id="18"/>
      <w:bookmarkEnd w:id="19"/>
      <w:bookmarkEnd w:id="20"/>
    </w:p>
    <w:p>
      <w:pPr/>
      <w:r>
        <w:drawing>
          <wp:inline distT="0" distB="0" distL="114300" distR="114300">
            <wp:extent cx="5269865" cy="3201035"/>
            <wp:effectExtent l="0" t="0" r="6985" b="1841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0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点击左侧资源情况统计表，即可打开教材及媒体资源信息统计界面。</w:t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这里以选择2018年为例，点击添加后跳转到2018年数据的添加界面。</w:t>
      </w:r>
    </w:p>
    <w:p>
      <w:pPr/>
      <w:r>
        <w:drawing>
          <wp:inline distT="0" distB="0" distL="114300" distR="114300">
            <wp:extent cx="5274310" cy="297180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填写完成之后点击保存即可保存数据。注意：不同输入框的单位不同，请仔细查看后再填写。</w:t>
      </w:r>
    </w:p>
    <w:p>
      <w:pPr/>
      <w:r>
        <w:drawing>
          <wp:inline distT="0" distB="0" distL="114300" distR="114300">
            <wp:extent cx="5271135" cy="3198495"/>
            <wp:effectExtent l="0" t="0" r="5715" b="190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9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点击校正按钮可以进入该表的修改界面</w:t>
      </w:r>
    </w:p>
    <w:p>
      <w:pPr/>
      <w:r>
        <w:rPr>
          <w:rFonts w:hint="eastAsia"/>
        </w:rPr>
        <w:drawing>
          <wp:inline distT="0" distB="0" distL="0" distR="0">
            <wp:extent cx="5267325" cy="2771775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修改完毕后点击保存，即可保存数据</w:t>
      </w:r>
    </w:p>
    <w:p>
      <w:pPr/>
      <w:r>
        <w:drawing>
          <wp:inline distT="0" distB="0" distL="114300" distR="114300">
            <wp:extent cx="5273040" cy="3238500"/>
            <wp:effectExtent l="0" t="0" r="381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然后再点击表名进行查看</w:t>
      </w:r>
    </w:p>
    <w:p>
      <w:pPr/>
      <w:r>
        <w:drawing>
          <wp:inline distT="0" distB="0" distL="114300" distR="114300">
            <wp:extent cx="5271135" cy="2417445"/>
            <wp:effectExtent l="0" t="0" r="5715" b="190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hAnsi="Calibri"/>
          <w:sz w:val="21"/>
        </w:rPr>
      </w:pPr>
      <w:r>
        <w:rPr>
          <w:rFonts w:hint="eastAsia" w:hAnsi="Calibri"/>
          <w:sz w:val="21"/>
        </w:rPr>
        <w:t>数据已经更新</w:t>
      </w:r>
    </w:p>
    <w:p>
      <w:pPr>
        <w:ind w:left="420"/>
        <w:rPr>
          <w:rFonts w:hAnsi="宋体"/>
          <w:sz w:val="32"/>
          <w:szCs w:val="32"/>
        </w:rPr>
      </w:pPr>
    </w:p>
    <w:p>
      <w:pPr>
        <w:pStyle w:val="3"/>
        <w:keepLines w:val="0"/>
        <w:numPr>
          <w:ilvl w:val="0"/>
          <w:numId w:val="3"/>
        </w:numPr>
        <w:autoSpaceDE w:val="0"/>
        <w:spacing w:before="0" w:after="0" w:line="412" w:lineRule="auto"/>
        <w:rPr>
          <w:rFonts w:ascii="Times New Roman" w:hAnsi="Times New Roman" w:eastAsia="楷体_GB2312"/>
        </w:rPr>
      </w:pPr>
      <w:bookmarkStart w:id="21" w:name="_Toc9921"/>
      <w:r>
        <w:rPr>
          <w:rFonts w:hint="eastAsia" w:ascii="Times New Roman" w:hAnsi="Times New Roman" w:eastAsia="楷体_GB2312"/>
        </w:rPr>
        <w:t>全部提交</w:t>
      </w:r>
      <w:bookmarkEnd w:id="21"/>
    </w:p>
    <w:p>
      <w:pPr/>
      <w:r>
        <w:rPr>
          <w:rFonts w:hint="eastAsia"/>
        </w:rPr>
        <w:t>在全部提交选项中，用户可以提交所填写的所有表的数据，只有各个统计表都填写完成后才能全部提交，且提交之后数据不可修改。只有上级统计汇总时点击驳回才可以修改。</w:t>
      </w:r>
    </w:p>
    <w:p>
      <w:pPr>
        <w:keepNext/>
        <w:jc w:val="center"/>
      </w:pPr>
      <w:r>
        <w:drawing>
          <wp:inline distT="0" distB="0" distL="114300" distR="114300">
            <wp:extent cx="5271135" cy="3205480"/>
            <wp:effectExtent l="0" t="0" r="5715" b="139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rPr>
          <w:rFonts w:hint="eastAsia"/>
        </w:rPr>
        <w:t xml:space="preserve">图2-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图表 \* ARABIC</w:instrText>
      </w:r>
      <w:r>
        <w:instrText xml:space="preserve">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t xml:space="preserve"> 全部提交</w:t>
      </w:r>
    </w:p>
    <w:p>
      <w:pPr/>
    </w:p>
    <w:p>
      <w:pPr>
        <w:keepNext/>
      </w:pPr>
    </w:p>
    <w:p>
      <w:pPr>
        <w:spacing w:line="220" w:lineRule="atLeast"/>
      </w:pPr>
    </w:p>
    <w:sectPr>
      <w:footerReference r:id="rId4" w:type="default"/>
      <w:pgSz w:w="11906" w:h="16838"/>
      <w:pgMar w:top="1440" w:right="1800" w:bottom="1440" w:left="1800" w:header="708" w:footer="708" w:gutter="0"/>
      <w:pgNumType w:start="1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545749"/>
    </w:sdtPr>
    <w:sdtContent>
      <w:p>
        <w:pPr>
          <w:pStyle w:val="10"/>
          <w:jc w:val="center"/>
        </w:pPr>
      </w:p>
    </w:sdtContent>
  </w:sdt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545750"/>
    </w:sdtPr>
    <w:sdtContent>
      <w:p>
        <w:pPr>
          <w:pStyle w:val="1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16</w:t>
        </w:r>
        <w:r>
          <w:rPr>
            <w:lang w:val="zh-CN"/>
          </w:rPr>
          <w:fldChar w:fldCharType="end"/>
        </w:r>
      </w:p>
    </w:sdtContent>
  </w:sdt>
  <w:p>
    <w:pPr>
      <w:pStyle w:val="1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275138652">
    <w:nsid w:val="4C01125C"/>
    <w:multiLevelType w:val="multilevel"/>
    <w:tmpl w:val="4C01125C"/>
    <w:lvl w:ilvl="0" w:tentative="1">
      <w:start w:val="1"/>
      <w:numFmt w:val="chineseCountingThousand"/>
      <w:lvlText w:val="%1、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61644533">
    <w:nsid w:val="217A03F5"/>
    <w:multiLevelType w:val="multilevel"/>
    <w:tmpl w:val="217A03F5"/>
    <w:lvl w:ilvl="0" w:tentative="1">
      <w:start w:val="1"/>
      <w:numFmt w:val="decimal"/>
      <w:lvlText w:val="%1."/>
      <w:lvlJc w:val="left"/>
      <w:pPr>
        <w:ind w:left="1060" w:hanging="420"/>
      </w:pPr>
    </w:lvl>
    <w:lvl w:ilvl="1" w:tentative="1">
      <w:start w:val="1"/>
      <w:numFmt w:val="lowerLetter"/>
      <w:lvlText w:val="%2)"/>
      <w:lvlJc w:val="left"/>
      <w:pPr>
        <w:ind w:left="1480" w:hanging="420"/>
      </w:pPr>
    </w:lvl>
    <w:lvl w:ilvl="2" w:tentative="1">
      <w:start w:val="1"/>
      <w:numFmt w:val="lowerRoman"/>
      <w:lvlText w:val="%3."/>
      <w:lvlJc w:val="right"/>
      <w:pPr>
        <w:ind w:left="1900" w:hanging="420"/>
      </w:pPr>
    </w:lvl>
    <w:lvl w:ilvl="3" w:tentative="1">
      <w:start w:val="1"/>
      <w:numFmt w:val="decimal"/>
      <w:lvlText w:val="%4."/>
      <w:lvlJc w:val="left"/>
      <w:pPr>
        <w:ind w:left="2320" w:hanging="420"/>
      </w:pPr>
    </w:lvl>
    <w:lvl w:ilvl="4" w:tentative="1">
      <w:start w:val="1"/>
      <w:numFmt w:val="lowerLetter"/>
      <w:lvlText w:val="%5)"/>
      <w:lvlJc w:val="left"/>
      <w:pPr>
        <w:ind w:left="2740" w:hanging="420"/>
      </w:pPr>
    </w:lvl>
    <w:lvl w:ilvl="5" w:tentative="1">
      <w:start w:val="1"/>
      <w:numFmt w:val="lowerRoman"/>
      <w:lvlText w:val="%6."/>
      <w:lvlJc w:val="right"/>
      <w:pPr>
        <w:ind w:left="3160" w:hanging="420"/>
      </w:pPr>
    </w:lvl>
    <w:lvl w:ilvl="6" w:tentative="1">
      <w:start w:val="1"/>
      <w:numFmt w:val="decimal"/>
      <w:lvlText w:val="%7."/>
      <w:lvlJc w:val="left"/>
      <w:pPr>
        <w:ind w:left="3580" w:hanging="420"/>
      </w:pPr>
    </w:lvl>
    <w:lvl w:ilvl="7" w:tentative="1">
      <w:start w:val="1"/>
      <w:numFmt w:val="lowerLetter"/>
      <w:lvlText w:val="%8)"/>
      <w:lvlJc w:val="left"/>
      <w:pPr>
        <w:ind w:left="4000" w:hanging="420"/>
      </w:pPr>
    </w:lvl>
    <w:lvl w:ilvl="8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136604583">
    <w:nsid w:val="43BF35A7"/>
    <w:multiLevelType w:val="multilevel"/>
    <w:tmpl w:val="43BF35A7"/>
    <w:lvl w:ilvl="0" w:tentative="1">
      <w:start w:val="1"/>
      <w:numFmt w:val="chineseCountingThousand"/>
      <w:lvlText w:val="(%1)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75138652"/>
  </w:num>
  <w:num w:numId="2">
    <w:abstractNumId w:val="561644533"/>
  </w:num>
  <w:num w:numId="3">
    <w:abstractNumId w:val="113660458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 w:val="1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72A27"/>
    <w:rsid w:val="00081B79"/>
    <w:rsid w:val="000D4123"/>
    <w:rsid w:val="00171851"/>
    <w:rsid w:val="00172A27"/>
    <w:rsid w:val="00210BAB"/>
    <w:rsid w:val="00323B43"/>
    <w:rsid w:val="003A472B"/>
    <w:rsid w:val="003D37D8"/>
    <w:rsid w:val="00426133"/>
    <w:rsid w:val="004358AB"/>
    <w:rsid w:val="00503CBB"/>
    <w:rsid w:val="005705E8"/>
    <w:rsid w:val="008B7726"/>
    <w:rsid w:val="00913641"/>
    <w:rsid w:val="0093169E"/>
    <w:rsid w:val="00A4277C"/>
    <w:rsid w:val="00B3122C"/>
    <w:rsid w:val="00B45FA3"/>
    <w:rsid w:val="00BB6465"/>
    <w:rsid w:val="00C15B91"/>
    <w:rsid w:val="00D31D50"/>
    <w:rsid w:val="00E63B1F"/>
    <w:rsid w:val="00FD42AA"/>
    <w:rsid w:val="01921F98"/>
    <w:rsid w:val="055907E6"/>
    <w:rsid w:val="05795ECD"/>
    <w:rsid w:val="072F1063"/>
    <w:rsid w:val="0C562C03"/>
    <w:rsid w:val="11504934"/>
    <w:rsid w:val="13EC0915"/>
    <w:rsid w:val="18B43348"/>
    <w:rsid w:val="18F55CE1"/>
    <w:rsid w:val="1DCC5387"/>
    <w:rsid w:val="20A830F5"/>
    <w:rsid w:val="214D2DDF"/>
    <w:rsid w:val="273F32DD"/>
    <w:rsid w:val="2B2C44B4"/>
    <w:rsid w:val="2CD71415"/>
    <w:rsid w:val="2E762113"/>
    <w:rsid w:val="2EDD11E9"/>
    <w:rsid w:val="2FE048C5"/>
    <w:rsid w:val="31A8237E"/>
    <w:rsid w:val="33560CB0"/>
    <w:rsid w:val="337A0E7C"/>
    <w:rsid w:val="371949A1"/>
    <w:rsid w:val="3AC175AF"/>
    <w:rsid w:val="3B2916EA"/>
    <w:rsid w:val="3B5F5EFB"/>
    <w:rsid w:val="3C3B241A"/>
    <w:rsid w:val="41175A01"/>
    <w:rsid w:val="41FB4E95"/>
    <w:rsid w:val="437C273E"/>
    <w:rsid w:val="44D74BBB"/>
    <w:rsid w:val="47C64E18"/>
    <w:rsid w:val="4CF10A70"/>
    <w:rsid w:val="53262498"/>
    <w:rsid w:val="57E25885"/>
    <w:rsid w:val="5A755CFC"/>
    <w:rsid w:val="5CF65A1E"/>
    <w:rsid w:val="5EB73B77"/>
    <w:rsid w:val="625E4530"/>
    <w:rsid w:val="632D2545"/>
    <w:rsid w:val="66E55D68"/>
    <w:rsid w:val="6730273D"/>
    <w:rsid w:val="6AB835E8"/>
    <w:rsid w:val="6D9B11CF"/>
    <w:rsid w:val="6E1C0619"/>
    <w:rsid w:val="6E40121A"/>
    <w:rsid w:val="71CF509B"/>
    <w:rsid w:val="72D13562"/>
    <w:rsid w:val="74041026"/>
    <w:rsid w:val="75EF76E1"/>
    <w:rsid w:val="76341550"/>
    <w:rsid w:val="79BF79C6"/>
    <w:rsid w:val="7D9566A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="Cambria" w:hAnsi="Cambria" w:eastAsia="宋体" w:cs="Times New Roman"/>
      <w:b/>
      <w:bCs/>
      <w:kern w:val="2"/>
      <w:sz w:val="32"/>
      <w:szCs w:val="32"/>
    </w:rPr>
  </w:style>
  <w:style w:type="character" w:default="1" w:styleId="17">
    <w:name w:val="Default Paragraph Font"/>
    <w:unhideWhenUsed/>
    <w:uiPriority w:val="1"/>
  </w:style>
  <w:style w:type="table" w:default="1" w:styleId="20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unhideWhenUsed/>
    <w:uiPriority w:val="39"/>
    <w:pPr>
      <w:ind w:left="2520" w:leftChars="1200"/>
    </w:pPr>
  </w:style>
  <w:style w:type="paragraph" w:styleId="5">
    <w:name w:val="caption"/>
    <w:basedOn w:val="1"/>
    <w:next w:val="1"/>
    <w:unhideWhenUsed/>
    <w:qFormat/>
    <w:uiPriority w:val="35"/>
    <w:pPr>
      <w:widowControl w:val="0"/>
      <w:adjustRightInd/>
      <w:snapToGrid/>
      <w:spacing w:after="0"/>
      <w:jc w:val="both"/>
    </w:pPr>
    <w:rPr>
      <w:rFonts w:ascii="Cambria" w:hAnsi="Cambria" w:eastAsia="黑体" w:cs="Times New Roman"/>
      <w:kern w:val="2"/>
      <w:sz w:val="20"/>
      <w:szCs w:val="20"/>
    </w:rPr>
  </w:style>
  <w:style w:type="paragraph" w:styleId="6">
    <w:name w:val="toc 5"/>
    <w:basedOn w:val="1"/>
    <w:next w:val="1"/>
    <w:unhideWhenUsed/>
    <w:uiPriority w:val="39"/>
    <w:pPr>
      <w:ind w:left="1680" w:leftChars="800"/>
    </w:pPr>
  </w:style>
  <w:style w:type="paragraph" w:styleId="7">
    <w:name w:val="toc 3"/>
    <w:basedOn w:val="1"/>
    <w:next w:val="1"/>
    <w:unhideWhenUsed/>
    <w:uiPriority w:val="39"/>
    <w:pPr>
      <w:ind w:left="840" w:leftChars="400"/>
    </w:pPr>
  </w:style>
  <w:style w:type="paragraph" w:styleId="8">
    <w:name w:val="toc 8"/>
    <w:basedOn w:val="1"/>
    <w:next w:val="1"/>
    <w:unhideWhenUsed/>
    <w:uiPriority w:val="39"/>
    <w:pPr>
      <w:ind w:left="2940" w:leftChars="1400"/>
    </w:pPr>
  </w:style>
  <w:style w:type="paragraph" w:styleId="9">
    <w:name w:val="Balloon Text"/>
    <w:basedOn w:val="1"/>
    <w:link w:val="25"/>
    <w:unhideWhenUsed/>
    <w:uiPriority w:val="99"/>
    <w:pPr>
      <w:spacing w:after="0"/>
    </w:pPr>
    <w:rPr>
      <w:sz w:val="18"/>
      <w:szCs w:val="18"/>
    </w:rPr>
  </w:style>
  <w:style w:type="paragraph" w:styleId="10">
    <w:name w:val="footer"/>
    <w:basedOn w:val="1"/>
    <w:link w:val="22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1">
    <w:name w:val="header"/>
    <w:basedOn w:val="1"/>
    <w:link w:val="2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4"/>
    <w:basedOn w:val="1"/>
    <w:next w:val="1"/>
    <w:unhideWhenUsed/>
    <w:uiPriority w:val="39"/>
    <w:pPr>
      <w:ind w:left="1260" w:leftChars="600"/>
    </w:pPr>
  </w:style>
  <w:style w:type="paragraph" w:styleId="14">
    <w:name w:val="toc 6"/>
    <w:basedOn w:val="1"/>
    <w:next w:val="1"/>
    <w:unhideWhenUsed/>
    <w:uiPriority w:val="39"/>
    <w:pPr>
      <w:ind w:left="2100" w:leftChars="1000"/>
    </w:pPr>
  </w:style>
  <w:style w:type="paragraph" w:styleId="15">
    <w:name w:val="toc 2"/>
    <w:basedOn w:val="1"/>
    <w:next w:val="1"/>
    <w:unhideWhenUsed/>
    <w:uiPriority w:val="39"/>
    <w:pPr>
      <w:ind w:left="420" w:leftChars="200"/>
    </w:pPr>
  </w:style>
  <w:style w:type="paragraph" w:styleId="16">
    <w:name w:val="toc 9"/>
    <w:basedOn w:val="1"/>
    <w:next w:val="1"/>
    <w:unhideWhenUsed/>
    <w:qFormat/>
    <w:uiPriority w:val="39"/>
    <w:pPr>
      <w:ind w:left="3360" w:leftChars="1600"/>
    </w:pPr>
  </w:style>
  <w:style w:type="character" w:styleId="18">
    <w:name w:val="FollowedHyperlink"/>
    <w:basedOn w:val="17"/>
    <w:unhideWhenUsed/>
    <w:uiPriority w:val="99"/>
    <w:rPr>
      <w:color w:val="800080" w:themeColor="followedHyperlink"/>
      <w:u w:val="single"/>
    </w:rPr>
  </w:style>
  <w:style w:type="character" w:styleId="19">
    <w:name w:val="Hyperlink"/>
    <w:basedOn w:val="17"/>
    <w:unhideWhenUsed/>
    <w:qFormat/>
    <w:uiPriority w:val="99"/>
    <w:rPr>
      <w:color w:val="0000FF"/>
      <w:u w:val="single"/>
    </w:rPr>
  </w:style>
  <w:style w:type="character" w:customStyle="1" w:styleId="21">
    <w:name w:val="页眉 Char"/>
    <w:basedOn w:val="17"/>
    <w:link w:val="11"/>
    <w:semiHidden/>
    <w:uiPriority w:val="99"/>
    <w:rPr>
      <w:rFonts w:ascii="Tahoma" w:hAnsi="Tahoma"/>
      <w:sz w:val="18"/>
      <w:szCs w:val="18"/>
    </w:rPr>
  </w:style>
  <w:style w:type="character" w:customStyle="1" w:styleId="22">
    <w:name w:val="页脚 Char"/>
    <w:basedOn w:val="17"/>
    <w:link w:val="10"/>
    <w:qFormat/>
    <w:uiPriority w:val="99"/>
    <w:rPr>
      <w:rFonts w:ascii="Tahoma" w:hAnsi="Tahoma"/>
      <w:sz w:val="18"/>
      <w:szCs w:val="18"/>
    </w:rPr>
  </w:style>
  <w:style w:type="character" w:customStyle="1" w:styleId="23">
    <w:name w:val="标题 2 Char"/>
    <w:basedOn w:val="17"/>
    <w:link w:val="3"/>
    <w:uiPriority w:val="9"/>
    <w:rPr>
      <w:rFonts w:ascii="Cambria" w:hAnsi="Cambria" w:eastAsia="宋体" w:cs="Times New Roman"/>
      <w:b/>
      <w:bCs/>
      <w:kern w:val="2"/>
      <w:sz w:val="32"/>
      <w:szCs w:val="32"/>
    </w:rPr>
  </w:style>
  <w:style w:type="paragraph" w:customStyle="1" w:styleId="24">
    <w:name w:val="列出段落1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character" w:customStyle="1" w:styleId="25">
    <w:name w:val="批注框文本 Char"/>
    <w:basedOn w:val="17"/>
    <w:link w:val="9"/>
    <w:semiHidden/>
    <w:uiPriority w:val="99"/>
    <w:rPr>
      <w:rFonts w:ascii="Tahoma" w:hAnsi="Tahoma"/>
      <w:sz w:val="18"/>
      <w:szCs w:val="18"/>
    </w:rPr>
  </w:style>
  <w:style w:type="character" w:customStyle="1" w:styleId="26">
    <w:name w:val="标题 1 Char"/>
    <w:basedOn w:val="17"/>
    <w:link w:val="2"/>
    <w:uiPriority w:val="9"/>
    <w:rPr>
      <w:rFonts w:ascii="Tahoma" w:hAnsi="Tahoma"/>
      <w:b/>
      <w:bCs/>
      <w:kern w:val="44"/>
      <w:sz w:val="44"/>
      <w:szCs w:val="44"/>
    </w:rPr>
  </w:style>
  <w:style w:type="paragraph" w:customStyle="1" w:styleId="27">
    <w:name w:val="TOC 标题1"/>
    <w:basedOn w:val="2"/>
    <w:next w:val="1"/>
    <w:unhideWhenUsed/>
    <w:qFormat/>
    <w:uiPriority w:val="39"/>
    <w:pPr>
      <w:adjustRightInd/>
      <w:snapToGrid/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footer" Target="footer2.xml"/><Relationship Id="rId39" Type="http://schemas.openxmlformats.org/officeDocument/2006/relationships/customXml" Target="../customXml/item1.xml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88AD45-8766-474F-A2DC-DBFE3656A6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357</Words>
  <Characters>2038</Characters>
  <Lines>16</Lines>
  <Paragraphs>4</Paragraphs>
  <TotalTime>0</TotalTime>
  <ScaleCrop>false</ScaleCrop>
  <LinksUpToDate>false</LinksUpToDate>
  <CharactersWithSpaces>2391</CharactersWithSpaces>
  <Application>WPS Office_10.1.0.5554_F1E327BC-269C-435d-A152-05C5408002CA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常洪洋</dc:creator>
  <cp:lastModifiedBy>常洪洋</cp:lastModifiedBy>
  <dcterms:modified xsi:type="dcterms:W3CDTF">2017-11-03T08:51:13Z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2052-10.1.0.5554</vt:lpwstr>
  </property>
</Properties>
</file>